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B448F" w14:textId="2D07DF79" w:rsidR="00495AFE" w:rsidRPr="002D16A1" w:rsidRDefault="00495AFE" w:rsidP="002D16A1">
      <w:pPr>
        <w:pStyle w:val="NoSpacing"/>
        <w:rPr>
          <w:bdr w:val="none" w:sz="0" w:space="0" w:color="auto" w:frame="1"/>
        </w:rPr>
      </w:pPr>
      <w:bookmarkStart w:id="0" w:name="_Hlk216943567"/>
      <w:r w:rsidRPr="002D16A1">
        <w:rPr>
          <w:b/>
          <w:bCs/>
          <w:color w:val="000000"/>
          <w:bdr w:val="none" w:sz="0" w:space="0" w:color="auto" w:frame="1"/>
          <w:lang w:val="en-AU"/>
        </w:rPr>
        <w:t>Asset Title</w:t>
      </w:r>
      <w:r w:rsidRPr="002D16A1">
        <w:rPr>
          <w:bdr w:val="none" w:sz="0" w:space="0" w:color="auto" w:frame="1"/>
        </w:rPr>
        <w:t xml:space="preserve"> - 3 actions to </w:t>
      </w:r>
      <w:r w:rsidR="00311B8B" w:rsidRPr="008976F2">
        <w:rPr>
          <w:bdr w:val="none" w:sz="0" w:space="0" w:color="auto" w:frame="1"/>
        </w:rPr>
        <w:t>boost</w:t>
      </w:r>
      <w:r w:rsidR="00311B8B">
        <w:rPr>
          <w:bdr w:val="none" w:sz="0" w:space="0" w:color="auto" w:frame="1"/>
        </w:rPr>
        <w:t xml:space="preserve"> </w:t>
      </w:r>
      <w:r w:rsidRPr="002D16A1">
        <w:rPr>
          <w:bdr w:val="none" w:sz="0" w:space="0" w:color="auto" w:frame="1"/>
        </w:rPr>
        <w:t>the impact of your agentic AI</w:t>
      </w:r>
    </w:p>
    <w:p w14:paraId="6291D37A" w14:textId="77777777" w:rsidR="00495AFE" w:rsidRPr="002D16A1" w:rsidRDefault="00495AFE" w:rsidP="002D16A1">
      <w:pPr>
        <w:pStyle w:val="NoSpacing"/>
        <w:rPr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  <w:lang w:val="en-AU"/>
        </w:rPr>
        <w:t>Asset URL</w:t>
      </w:r>
      <w:r w:rsidRPr="002D16A1">
        <w:rPr>
          <w:bdr w:val="none" w:sz="0" w:space="0" w:color="auto" w:frame="1"/>
        </w:rPr>
        <w:t xml:space="preserve"> - </w:t>
      </w:r>
      <w:hyperlink r:id="rId7" w:history="1">
        <w:r w:rsidRPr="002D16A1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</w:rPr>
          <w:t>https://www.ibm.com/think/insights/ai-agent-strategies</w:t>
        </w:r>
      </w:hyperlink>
    </w:p>
    <w:p w14:paraId="0F6ACBA3" w14:textId="193238C9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  <w:lang w:val="en-AU"/>
        </w:rPr>
      </w:pPr>
      <w:r w:rsidRPr="002D16A1">
        <w:rPr>
          <w:b/>
          <w:bCs/>
          <w:color w:val="000000"/>
          <w:bdr w:val="none" w:sz="0" w:space="0" w:color="auto" w:frame="1"/>
          <w:lang w:val="en-AU"/>
        </w:rPr>
        <w:t>Abstract</w:t>
      </w:r>
      <w:r w:rsidRPr="002D16A1">
        <w:rPr>
          <w:color w:val="000000"/>
          <w:bdr w:val="none" w:sz="0" w:space="0" w:color="auto" w:frame="1"/>
          <w:lang w:val="en-AU"/>
        </w:rPr>
        <w:t xml:space="preserve"> - Businesses face many challenges on their journey from AI ambition to implementation. Success requires more than adopting new technology. It involves leveraging your data, choosing the right use </w:t>
      </w:r>
      <w:r w:rsidR="00E55F34" w:rsidRPr="002D16A1">
        <w:rPr>
          <w:color w:val="000000"/>
          <w:bdr w:val="none" w:sz="0" w:space="0" w:color="auto" w:frame="1"/>
          <w:lang w:val="en-AU"/>
        </w:rPr>
        <w:t>case, and</w:t>
      </w:r>
      <w:r w:rsidRPr="002D16A1">
        <w:rPr>
          <w:color w:val="000000"/>
          <w:bdr w:val="none" w:sz="0" w:space="0" w:color="auto" w:frame="1"/>
          <w:lang w:val="en-AU"/>
        </w:rPr>
        <w:t xml:space="preserve"> reimagining workflows to integrate AI at the core. Leaders must ensure the right AI is applied to the right challenges. </w:t>
      </w:r>
      <w:r w:rsidR="005533D4" w:rsidRPr="005533D4">
        <w:rPr>
          <w:color w:val="000000"/>
          <w:highlight w:val="yellow"/>
          <w:bdr w:val="none" w:sz="0" w:space="0" w:color="auto" w:frame="1"/>
          <w:lang w:val="en-AU"/>
        </w:rPr>
        <w:t xml:space="preserve">Drive Enterprise Productivity </w:t>
      </w:r>
      <w:r w:rsidR="005533D4" w:rsidRPr="00311B8B">
        <w:rPr>
          <w:color w:val="000000"/>
          <w:highlight w:val="green"/>
          <w:bdr w:val="none" w:sz="0" w:space="0" w:color="auto" w:frame="1"/>
          <w:lang w:val="en-AU"/>
        </w:rPr>
        <w:t>w</w:t>
      </w:r>
      <w:r w:rsidR="00311B8B" w:rsidRPr="00311B8B">
        <w:rPr>
          <w:color w:val="000000"/>
          <w:highlight w:val="green"/>
          <w:bdr w:val="none" w:sz="0" w:space="0" w:color="auto" w:frame="1"/>
          <w:lang w:val="en-AU"/>
        </w:rPr>
        <w:t>ith</w:t>
      </w:r>
      <w:r w:rsidR="005533D4" w:rsidRPr="005533D4">
        <w:rPr>
          <w:color w:val="000000"/>
          <w:highlight w:val="yellow"/>
          <w:bdr w:val="none" w:sz="0" w:space="0" w:color="auto" w:frame="1"/>
          <w:lang w:val="en-AU"/>
        </w:rPr>
        <w:t xml:space="preserve"> </w:t>
      </w:r>
      <w:r w:rsidR="00311B8B" w:rsidRPr="00311B8B">
        <w:rPr>
          <w:color w:val="000000"/>
          <w:highlight w:val="green"/>
          <w:bdr w:val="none" w:sz="0" w:space="0" w:color="auto" w:frame="1"/>
          <w:lang w:val="en-AU"/>
        </w:rPr>
        <w:t xml:space="preserve">Agentic </w:t>
      </w:r>
      <w:r w:rsidR="005533D4" w:rsidRPr="005533D4">
        <w:rPr>
          <w:color w:val="000000"/>
          <w:highlight w:val="yellow"/>
          <w:bdr w:val="none" w:sz="0" w:space="0" w:color="auto" w:frame="1"/>
          <w:lang w:val="en-AU"/>
        </w:rPr>
        <w:t>AI That Integrates Deeper to Automate Complex Workflows.</w:t>
      </w:r>
    </w:p>
    <w:p w14:paraId="0F12E5B0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  <w:lang w:val="en-AU"/>
        </w:rPr>
      </w:pPr>
    </w:p>
    <w:p w14:paraId="630250A0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  <w:lang w:val="en-AU"/>
        </w:rPr>
      </w:pPr>
      <w:r w:rsidRPr="002D16A1">
        <w:rPr>
          <w:color w:val="000000"/>
          <w:bdr w:val="none" w:sz="0" w:space="0" w:color="auto" w:frame="1"/>
          <w:lang w:val="en-AU"/>
        </w:rPr>
        <w:t>Explore IBM’s playbook detailing three challenges and approaches you can take to help boost the impact of your agentic AI, including:</w:t>
      </w:r>
    </w:p>
    <w:p w14:paraId="6ADBF319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  <w:lang w:val="en-AU"/>
        </w:rPr>
      </w:pPr>
    </w:p>
    <w:p w14:paraId="1309F248" w14:textId="2902AEB1" w:rsidR="00495AFE" w:rsidRPr="00311B8B" w:rsidRDefault="00311B8B" w:rsidP="00E062DA">
      <w:pPr>
        <w:pStyle w:val="NoSpacing"/>
        <w:numPr>
          <w:ilvl w:val="0"/>
          <w:numId w:val="4"/>
        </w:numPr>
        <w:rPr>
          <w:strike/>
          <w:color w:val="000000"/>
          <w:bdr w:val="none" w:sz="0" w:space="0" w:color="auto" w:frame="1"/>
          <w:lang w:val="en-AU"/>
        </w:rPr>
      </w:pPr>
      <w:r w:rsidRPr="00311B8B">
        <w:rPr>
          <w:color w:val="000000"/>
          <w:highlight w:val="green"/>
          <w:bdr w:val="none" w:sz="0" w:space="0" w:color="auto" w:frame="1"/>
          <w:lang w:val="en-AU"/>
        </w:rPr>
        <w:t>Finding the right</w:t>
      </w:r>
      <w:r>
        <w:rPr>
          <w:color w:val="000000"/>
          <w:highlight w:val="green"/>
          <w:bdr w:val="none" w:sz="0" w:space="0" w:color="auto" w:frame="1"/>
          <w:lang w:val="en-AU"/>
        </w:rPr>
        <w:t xml:space="preserve"> AI</w:t>
      </w:r>
      <w:r w:rsidRPr="00311B8B">
        <w:rPr>
          <w:color w:val="000000"/>
          <w:highlight w:val="green"/>
          <w:bdr w:val="none" w:sz="0" w:space="0" w:color="auto" w:frame="1"/>
          <w:lang w:val="en-AU"/>
        </w:rPr>
        <w:t xml:space="preserve"> opportunity</w:t>
      </w:r>
    </w:p>
    <w:p w14:paraId="7FA072B8" w14:textId="77777777" w:rsidR="00495AFE" w:rsidRPr="002D16A1" w:rsidRDefault="00495AFE" w:rsidP="00E062DA">
      <w:pPr>
        <w:pStyle w:val="NoSpacing"/>
        <w:numPr>
          <w:ilvl w:val="0"/>
          <w:numId w:val="4"/>
        </w:numPr>
        <w:rPr>
          <w:color w:val="000000"/>
          <w:bdr w:val="none" w:sz="0" w:space="0" w:color="auto" w:frame="1"/>
          <w:lang w:val="en-AU"/>
        </w:rPr>
      </w:pPr>
      <w:r w:rsidRPr="002D16A1">
        <w:rPr>
          <w:color w:val="000000"/>
          <w:bdr w:val="none" w:sz="0" w:space="0" w:color="auto" w:frame="1"/>
          <w:lang w:val="en-AU"/>
        </w:rPr>
        <w:t>Creating a clear AI plan</w:t>
      </w:r>
    </w:p>
    <w:p w14:paraId="495DF062" w14:textId="77777777" w:rsidR="00495AFE" w:rsidRPr="002D16A1" w:rsidRDefault="00495AFE" w:rsidP="00E062DA">
      <w:pPr>
        <w:pStyle w:val="NoSpacing"/>
        <w:numPr>
          <w:ilvl w:val="0"/>
          <w:numId w:val="4"/>
        </w:numPr>
        <w:rPr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  <w:lang w:val="en-AU"/>
        </w:rPr>
        <w:t>Integrating AI with the tools you use everyday</w:t>
      </w:r>
    </w:p>
    <w:p w14:paraId="33DBBD0A" w14:textId="77777777" w:rsidR="00495AFE" w:rsidRPr="002D16A1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0FEFEF85" w14:textId="0C3CE57D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5533D4">
        <w:rPr>
          <w:color w:val="000000"/>
          <w:highlight w:val="yellow"/>
          <w:bdr w:val="none" w:sz="0" w:space="0" w:color="auto" w:frame="1"/>
        </w:rPr>
        <w:t>#</w:t>
      </w:r>
      <w:r w:rsidR="001950D7" w:rsidRPr="005533D4">
        <w:rPr>
          <w:color w:val="000000"/>
          <w:highlight w:val="yellow"/>
          <w:bdr w:val="none" w:sz="0" w:space="0" w:color="auto" w:frame="1"/>
        </w:rPr>
        <w:t xml:space="preserve">ibm </w:t>
      </w:r>
      <w:proofErr w:type="spellStart"/>
      <w:r w:rsidR="001950D7" w:rsidRPr="005533D4">
        <w:rPr>
          <w:color w:val="000000"/>
          <w:highlight w:val="yellow"/>
          <w:bdr w:val="none" w:sz="0" w:space="0" w:color="auto" w:frame="1"/>
        </w:rPr>
        <w:t>artifical</w:t>
      </w:r>
      <w:proofErr w:type="spellEnd"/>
      <w:r w:rsidR="001950D7" w:rsidRPr="005533D4">
        <w:rPr>
          <w:color w:val="000000"/>
          <w:highlight w:val="yellow"/>
          <w:bdr w:val="none" w:sz="0" w:space="0" w:color="auto" w:frame="1"/>
        </w:rPr>
        <w:t xml:space="preserve"> intelligence agents</w:t>
      </w:r>
      <w:r w:rsidR="005533D4" w:rsidRPr="005533D4">
        <w:rPr>
          <w:color w:val="000000"/>
          <w:highlight w:val="yellow"/>
          <w:bdr w:val="none" w:sz="0" w:space="0" w:color="auto" w:frame="1"/>
        </w:rPr>
        <w:t>,</w:t>
      </w:r>
      <w:r w:rsidR="003F77C7">
        <w:rPr>
          <w:color w:val="000000"/>
          <w:highlight w:val="yellow"/>
          <w:bdr w:val="none" w:sz="0" w:space="0" w:color="auto" w:frame="1"/>
        </w:rPr>
        <w:t xml:space="preserve"> </w:t>
      </w:r>
      <w:r w:rsidR="005533D4" w:rsidRPr="005533D4">
        <w:rPr>
          <w:color w:val="000000"/>
          <w:highlight w:val="yellow"/>
          <w:bdr w:val="none" w:sz="0" w:space="0" w:color="auto" w:frame="1"/>
        </w:rPr>
        <w:t>#</w:t>
      </w:r>
      <w:r w:rsidR="005533D4" w:rsidRPr="005533D4">
        <w:rPr>
          <w:highlight w:val="yellow"/>
        </w:rPr>
        <w:t xml:space="preserve"> </w:t>
      </w:r>
      <w:r w:rsidR="005533D4" w:rsidRPr="005533D4">
        <w:rPr>
          <w:color w:val="000000"/>
          <w:highlight w:val="yellow"/>
          <w:bdr w:val="none" w:sz="0" w:space="0" w:color="auto" w:frame="1"/>
        </w:rPr>
        <w:t>ai agents software</w:t>
      </w:r>
    </w:p>
    <w:p w14:paraId="02C46E5A" w14:textId="77777777" w:rsidR="00495AFE" w:rsidRPr="002D16A1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44CA2C8A" w14:textId="77777777" w:rsidR="00495AFE" w:rsidRPr="002D16A1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</w:rPr>
        <w:t xml:space="preserve">CTA – </w:t>
      </w:r>
      <w:r w:rsidRPr="002D16A1">
        <w:rPr>
          <w:color w:val="000000"/>
          <w:bdr w:val="none" w:sz="0" w:space="0" w:color="auto" w:frame="1"/>
        </w:rPr>
        <w:t>Explore the Playbook</w:t>
      </w:r>
    </w:p>
    <w:p w14:paraId="1B1B8CAB" w14:textId="77777777" w:rsidR="00495AFE" w:rsidRPr="002D16A1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0AF04122" w14:textId="77777777" w:rsidR="00495AFE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  <w:r w:rsidRPr="002D16A1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3DFF73FE" wp14:editId="0C11AB6C">
            <wp:extent cx="1790079" cy="1447800"/>
            <wp:effectExtent l="0" t="0" r="635" b="0"/>
            <wp:docPr id="1331532905" name="Picture 1" descr="A group of doors with text abo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32905" name="Picture 1" descr="A group of doors with text abov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6181" cy="14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1AB6" w14:textId="77777777" w:rsidR="00F24164" w:rsidRPr="002D16A1" w:rsidRDefault="00F24164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66FCE63F" w14:textId="77777777" w:rsidR="005E5317" w:rsidRPr="002D16A1" w:rsidRDefault="005E5317" w:rsidP="002D16A1">
      <w:pPr>
        <w:pStyle w:val="NoSpacing"/>
      </w:pPr>
    </w:p>
    <w:p w14:paraId="5CC33E16" w14:textId="77777777" w:rsidR="00495AFE" w:rsidRPr="002D16A1" w:rsidRDefault="00495AFE" w:rsidP="002D16A1">
      <w:pPr>
        <w:pStyle w:val="NoSpacing"/>
      </w:pPr>
    </w:p>
    <w:p w14:paraId="4097E573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  <w:lang w:val="en-AU"/>
        </w:rPr>
        <w:t>Asset Title</w:t>
      </w:r>
      <w:r w:rsidRPr="002D16A1">
        <w:rPr>
          <w:bdr w:val="none" w:sz="0" w:space="0" w:color="auto" w:frame="1"/>
        </w:rPr>
        <w:t> - </w:t>
      </w:r>
      <w:r w:rsidRPr="002D16A1">
        <w:rPr>
          <w:color w:val="000000"/>
          <w:bdr w:val="none" w:sz="0" w:space="0" w:color="auto" w:frame="1"/>
        </w:rPr>
        <w:t>Start realizing ROI: A practical guide to agentic AI</w:t>
      </w:r>
    </w:p>
    <w:p w14:paraId="1E4A3516" w14:textId="77777777" w:rsidR="00495AFE" w:rsidRPr="002D16A1" w:rsidRDefault="00495AFE" w:rsidP="002D16A1">
      <w:pPr>
        <w:pStyle w:val="NoSpacing"/>
        <w:rPr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  <w:lang w:val="en-AU"/>
        </w:rPr>
        <w:t>Asset URL</w:t>
      </w:r>
      <w:r w:rsidRPr="002D16A1">
        <w:rPr>
          <w:bdr w:val="none" w:sz="0" w:space="0" w:color="auto" w:frame="1"/>
        </w:rPr>
        <w:t xml:space="preserve"> - </w:t>
      </w:r>
      <w:hyperlink r:id="rId9" w:history="1">
        <w:r w:rsidRPr="002D16A1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</w:rPr>
          <w:t>https://www.ibm.com/downloads/documents/us-en/1443d5f5af4f532a</w:t>
        </w:r>
      </w:hyperlink>
    </w:p>
    <w:p w14:paraId="1FE34B56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  <w:lang w:val="en-AU"/>
        </w:rPr>
        <w:t>Abstract</w:t>
      </w:r>
      <w:r w:rsidRPr="002D16A1">
        <w:rPr>
          <w:color w:val="000000"/>
          <w:bdr w:val="none" w:sz="0" w:space="0" w:color="auto" w:frame="1"/>
          <w:lang w:val="en-AU"/>
        </w:rPr>
        <w:t xml:space="preserve"> - </w:t>
      </w:r>
      <w:r w:rsidRPr="002D16A1">
        <w:rPr>
          <w:color w:val="000000"/>
          <w:bdr w:val="none" w:sz="0" w:space="0" w:color="auto" w:frame="1"/>
        </w:rPr>
        <w:t>Businesses are seeking real ROI with agentic AI, but many are falling short. Only 25% of the AI initiatives have delivered their expected ROI and only 16% have scaled enterprise-wide.</w:t>
      </w:r>
    </w:p>
    <w:p w14:paraId="6DCDDA83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0D44BD3E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>In this playbook, discover ways to get ahead, successfully scaling AI across your business with real results. You'll learn:</w:t>
      </w:r>
    </w:p>
    <w:p w14:paraId="211CAB7F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63EBF4E9" w14:textId="77777777" w:rsidR="00495AFE" w:rsidRPr="002D16A1" w:rsidRDefault="00495AFE" w:rsidP="00E062DA">
      <w:pPr>
        <w:pStyle w:val="NoSpacing"/>
        <w:numPr>
          <w:ilvl w:val="0"/>
          <w:numId w:val="5"/>
        </w:numPr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>Three common barriers to ROI on agentic AI</w:t>
      </w:r>
    </w:p>
    <w:p w14:paraId="49174AC4" w14:textId="6B4D4637" w:rsidR="00495AFE" w:rsidRPr="00E55F34" w:rsidRDefault="00495AFE" w:rsidP="00E55F34">
      <w:pPr>
        <w:pStyle w:val="NoSpacing"/>
        <w:numPr>
          <w:ilvl w:val="0"/>
          <w:numId w:val="5"/>
        </w:numPr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>How to successfully measure ROI</w:t>
      </w:r>
    </w:p>
    <w:p w14:paraId="00521489" w14:textId="6051125B" w:rsidR="003F77C7" w:rsidRPr="003F77C7" w:rsidRDefault="003F77C7" w:rsidP="00E062DA">
      <w:pPr>
        <w:pStyle w:val="NoSpacing"/>
        <w:numPr>
          <w:ilvl w:val="0"/>
          <w:numId w:val="5"/>
        </w:numPr>
        <w:rPr>
          <w:color w:val="000000"/>
          <w:highlight w:val="green"/>
          <w:bdr w:val="none" w:sz="0" w:space="0" w:color="auto" w:frame="1"/>
        </w:rPr>
      </w:pPr>
      <w:r w:rsidRPr="003F77C7">
        <w:rPr>
          <w:color w:val="000000"/>
          <w:highlight w:val="green"/>
          <w:bdr w:val="none" w:sz="0" w:space="0" w:color="auto" w:frame="1"/>
        </w:rPr>
        <w:t>An enterprise framework to scale</w:t>
      </w:r>
      <w:r w:rsidRPr="003F77C7">
        <w:rPr>
          <w:highlight w:val="green"/>
        </w:rPr>
        <w:t xml:space="preserve"> agentic AI with real, repeatable results</w:t>
      </w:r>
    </w:p>
    <w:p w14:paraId="1D9C1FD7" w14:textId="77777777" w:rsidR="00495AFE" w:rsidRPr="002D16A1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5E93F94F" w14:textId="20DFC885" w:rsidR="00AE7DFC" w:rsidRDefault="00AE7DFC" w:rsidP="002D16A1">
      <w:pPr>
        <w:pStyle w:val="NoSpacing"/>
        <w:rPr>
          <w:color w:val="000000"/>
          <w:bdr w:val="none" w:sz="0" w:space="0" w:color="auto" w:frame="1"/>
        </w:rPr>
      </w:pPr>
      <w:r w:rsidRPr="00AE7DFC">
        <w:rPr>
          <w:color w:val="000000"/>
          <w:highlight w:val="yellow"/>
          <w:bdr w:val="none" w:sz="0" w:space="0" w:color="auto" w:frame="1"/>
        </w:rPr>
        <w:t xml:space="preserve">Drive Enterprise Productivity </w:t>
      </w:r>
      <w:r w:rsidR="00311B8B" w:rsidRPr="00311B8B">
        <w:rPr>
          <w:color w:val="000000"/>
          <w:highlight w:val="green"/>
          <w:bdr w:val="none" w:sz="0" w:space="0" w:color="auto" w:frame="1"/>
        </w:rPr>
        <w:t>with</w:t>
      </w:r>
      <w:r w:rsidRPr="00311B8B">
        <w:rPr>
          <w:color w:val="000000"/>
          <w:highlight w:val="green"/>
          <w:bdr w:val="none" w:sz="0" w:space="0" w:color="auto" w:frame="1"/>
        </w:rPr>
        <w:t xml:space="preserve"> </w:t>
      </w:r>
      <w:r w:rsidR="00311B8B" w:rsidRPr="00311B8B">
        <w:rPr>
          <w:color w:val="000000"/>
          <w:highlight w:val="green"/>
          <w:bdr w:val="none" w:sz="0" w:space="0" w:color="auto" w:frame="1"/>
        </w:rPr>
        <w:t xml:space="preserve">Agentic </w:t>
      </w:r>
      <w:r w:rsidRPr="00AE7DFC">
        <w:rPr>
          <w:color w:val="000000"/>
          <w:highlight w:val="yellow"/>
          <w:bdr w:val="none" w:sz="0" w:space="0" w:color="auto" w:frame="1"/>
        </w:rPr>
        <w:t>AI That Integrates Deeper to Automate Complex Workflows.</w:t>
      </w:r>
    </w:p>
    <w:p w14:paraId="4B2C6083" w14:textId="712975AA" w:rsidR="00495AFE" w:rsidRPr="009C2E52" w:rsidRDefault="00495AFE" w:rsidP="002D16A1">
      <w:pPr>
        <w:pStyle w:val="NoSpacing"/>
        <w:rPr>
          <w:color w:val="000000"/>
          <w:bdr w:val="none" w:sz="0" w:space="0" w:color="auto" w:frame="1"/>
          <w:lang w:val="en-US"/>
        </w:rPr>
      </w:pPr>
      <w:r w:rsidRPr="009C2E52">
        <w:rPr>
          <w:color w:val="000000"/>
          <w:highlight w:val="yellow"/>
          <w:bdr w:val="none" w:sz="0" w:space="0" w:color="auto" w:frame="1"/>
          <w:lang w:val="en-US"/>
        </w:rPr>
        <w:t>#</w:t>
      </w:r>
      <w:r w:rsidR="009C2E52" w:rsidRPr="009C2E52">
        <w:rPr>
          <w:color w:val="000000"/>
          <w:highlight w:val="yellow"/>
          <w:bdr w:val="none" w:sz="0" w:space="0" w:color="auto" w:frame="1"/>
          <w:lang w:val="en-US"/>
        </w:rPr>
        <w:t xml:space="preserve">ibm ai agent </w:t>
      </w:r>
      <w:proofErr w:type="gramStart"/>
      <w:r w:rsidR="009C2E52" w:rsidRPr="009C2E52">
        <w:rPr>
          <w:color w:val="000000"/>
          <w:highlight w:val="yellow"/>
          <w:bdr w:val="none" w:sz="0" w:space="0" w:color="auto" w:frame="1"/>
          <w:lang w:val="en-US"/>
        </w:rPr>
        <w:t>solution,#</w:t>
      </w:r>
      <w:proofErr w:type="gramEnd"/>
      <w:r w:rsidR="009C2E52" w:rsidRPr="009C2E52">
        <w:rPr>
          <w:highlight w:val="yellow"/>
        </w:rPr>
        <w:t xml:space="preserve"> </w:t>
      </w:r>
      <w:r w:rsidR="009C2E52" w:rsidRPr="009C2E52">
        <w:rPr>
          <w:color w:val="000000"/>
          <w:highlight w:val="yellow"/>
          <w:bdr w:val="none" w:sz="0" w:space="0" w:color="auto" w:frame="1"/>
          <w:lang w:val="en-US"/>
        </w:rPr>
        <w:t>enterprise ai</w:t>
      </w:r>
    </w:p>
    <w:p w14:paraId="007F67CC" w14:textId="77777777" w:rsidR="00495AFE" w:rsidRPr="009C2E52" w:rsidRDefault="00495AFE" w:rsidP="002D16A1">
      <w:pPr>
        <w:pStyle w:val="NoSpacing"/>
        <w:rPr>
          <w:b/>
          <w:bCs/>
          <w:color w:val="000000"/>
          <w:bdr w:val="none" w:sz="0" w:space="0" w:color="auto" w:frame="1"/>
          <w:lang w:val="en-US"/>
        </w:rPr>
      </w:pPr>
    </w:p>
    <w:p w14:paraId="32BDA74C" w14:textId="77777777" w:rsidR="00495AFE" w:rsidRPr="002D16A1" w:rsidRDefault="00495AFE" w:rsidP="002D16A1">
      <w:pPr>
        <w:pStyle w:val="NoSpacing"/>
        <w:rPr>
          <w:b/>
          <w:bCs/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</w:rPr>
        <w:t xml:space="preserve">CTA – </w:t>
      </w:r>
      <w:r w:rsidRPr="002D16A1">
        <w:rPr>
          <w:color w:val="000000"/>
          <w:bdr w:val="none" w:sz="0" w:space="0" w:color="auto" w:frame="1"/>
        </w:rPr>
        <w:t>Download the Guide</w:t>
      </w:r>
    </w:p>
    <w:p w14:paraId="30C7CC34" w14:textId="77777777" w:rsidR="00495AFE" w:rsidRPr="002D16A1" w:rsidRDefault="00495AFE" w:rsidP="002D16A1">
      <w:pPr>
        <w:pStyle w:val="NoSpacing"/>
        <w:rPr>
          <w:rFonts w:ascii="Calibri" w:hAnsi="Calibri" w:cs="Calibri"/>
          <w:b/>
          <w:bCs/>
          <w:color w:val="000000"/>
          <w:bdr w:val="none" w:sz="0" w:space="0" w:color="auto" w:frame="1"/>
        </w:rPr>
      </w:pPr>
      <w:r w:rsidRPr="002D16A1">
        <w:rPr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BF1B1B4" wp14:editId="023B418A">
            <wp:extent cx="1917700" cy="1120093"/>
            <wp:effectExtent l="0" t="0" r="6350" b="4445"/>
            <wp:docPr id="1139311263" name="Picture 1" descr="A pile of colorful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11263" name="Picture 1" descr="A pile of colorful objec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1996" cy="11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3B9239C" w14:textId="77777777" w:rsidR="00495AFE" w:rsidRPr="002D16A1" w:rsidRDefault="00495AFE" w:rsidP="002D16A1">
      <w:pPr>
        <w:pStyle w:val="NoSpacing"/>
      </w:pPr>
    </w:p>
    <w:p w14:paraId="671793C2" w14:textId="77777777" w:rsidR="00E55F34" w:rsidRDefault="00E55F34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3E2A99A0" w14:textId="77777777" w:rsidR="00E55F34" w:rsidRDefault="00E55F34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56FE2C67" w14:textId="77777777" w:rsidR="00E55F34" w:rsidRDefault="00E55F34" w:rsidP="002D16A1">
      <w:pPr>
        <w:pStyle w:val="NoSpacing"/>
        <w:rPr>
          <w:b/>
          <w:bCs/>
          <w:color w:val="000000"/>
          <w:bdr w:val="none" w:sz="0" w:space="0" w:color="auto" w:frame="1"/>
        </w:rPr>
      </w:pPr>
    </w:p>
    <w:p w14:paraId="610C4828" w14:textId="03546047" w:rsidR="00495AFE" w:rsidRPr="002D16A1" w:rsidRDefault="00495AFE" w:rsidP="002D16A1">
      <w:pPr>
        <w:pStyle w:val="NoSpacing"/>
        <w:rPr>
          <w:rFonts w:eastAsia="Times New Roman"/>
          <w:color w:val="000000"/>
          <w:kern w:val="0"/>
          <w14:ligatures w14:val="none"/>
        </w:rPr>
      </w:pPr>
      <w:r w:rsidRPr="002D16A1">
        <w:rPr>
          <w:b/>
          <w:bCs/>
          <w:color w:val="000000"/>
          <w:bdr w:val="none" w:sz="0" w:space="0" w:color="auto" w:frame="1"/>
        </w:rPr>
        <w:t>Asset Tit</w:t>
      </w:r>
      <w:r w:rsidR="00E55F34">
        <w:rPr>
          <w:b/>
          <w:bCs/>
          <w:color w:val="000000"/>
          <w:bdr w:val="none" w:sz="0" w:space="0" w:color="auto" w:frame="1"/>
        </w:rPr>
        <w:t xml:space="preserve">e: </w:t>
      </w:r>
      <w:r w:rsidR="007B0E38" w:rsidRPr="007B0E38">
        <w:rPr>
          <w:color w:val="000000"/>
          <w:highlight w:val="green"/>
          <w:bdr w:val="none" w:sz="0" w:space="0" w:color="auto" w:frame="1"/>
        </w:rPr>
        <w:t>API Holdings Scales AI</w:t>
      </w:r>
      <w:r w:rsidR="007B0E38" w:rsidRPr="007B0E38">
        <w:rPr>
          <w:color w:val="000000"/>
          <w:highlight w:val="green"/>
          <w:bdr w:val="none" w:sz="0" w:space="0" w:color="auto" w:frame="1"/>
        </w:rPr>
        <w:noBreakHyphen/>
        <w:t>Driven Full</w:t>
      </w:r>
      <w:r w:rsidR="007B0E38" w:rsidRPr="007B0E38">
        <w:rPr>
          <w:color w:val="000000"/>
          <w:highlight w:val="green"/>
          <w:bdr w:val="none" w:sz="0" w:space="0" w:color="auto" w:frame="1"/>
        </w:rPr>
        <w:noBreakHyphen/>
        <w:t>Stack Observability with IBM Instana</w:t>
      </w:r>
    </w:p>
    <w:p w14:paraId="2F390D2F" w14:textId="77777777" w:rsidR="00495AFE" w:rsidRPr="002D16A1" w:rsidRDefault="00495AFE" w:rsidP="002D16A1">
      <w:pPr>
        <w:pStyle w:val="NoSpacing"/>
        <w:rPr>
          <w:rFonts w:eastAsia="Times New Roman"/>
          <w:color w:val="000000"/>
          <w:kern w:val="0"/>
          <w14:ligatures w14:val="none"/>
        </w:rPr>
      </w:pPr>
      <w:r w:rsidRPr="002D16A1">
        <w:rPr>
          <w:b/>
          <w:bCs/>
          <w:color w:val="000000"/>
          <w:bdr w:val="none" w:sz="0" w:space="0" w:color="auto" w:frame="1"/>
        </w:rPr>
        <w:t>Asset URL</w:t>
      </w:r>
      <w:r w:rsidRPr="002D16A1">
        <w:rPr>
          <w:color w:val="000000"/>
          <w:bdr w:val="none" w:sz="0" w:space="0" w:color="auto" w:frame="1"/>
        </w:rPr>
        <w:t> -</w:t>
      </w:r>
      <w:r w:rsidRPr="002D16A1">
        <w:t xml:space="preserve"> </w:t>
      </w:r>
      <w:r w:rsidRPr="002D16A1">
        <w:rPr>
          <w:color w:val="000000"/>
          <w:bdr w:val="none" w:sz="0" w:space="0" w:color="auto" w:frame="1"/>
        </w:rPr>
        <w:t>https://www.ibm.com/case-studies/api-holdings</w:t>
      </w:r>
    </w:p>
    <w:p w14:paraId="3ABB9812" w14:textId="76B4D675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</w:rPr>
        <w:t>Abstract</w:t>
      </w:r>
      <w:r w:rsidRPr="002D16A1">
        <w:rPr>
          <w:color w:val="000000"/>
          <w:bdr w:val="none" w:sz="0" w:space="0" w:color="auto" w:frame="1"/>
        </w:rPr>
        <w:t xml:space="preserve"> - API Holdings Limited (API) — the powerhouse behind </w:t>
      </w:r>
      <w:proofErr w:type="spellStart"/>
      <w:r w:rsidRPr="00196ACD">
        <w:rPr>
          <w:b/>
          <w:bCs/>
          <w:color w:val="000000"/>
          <w:bdr w:val="none" w:sz="0" w:space="0" w:color="auto" w:frame="1"/>
        </w:rPr>
        <w:t>PharmEasy</w:t>
      </w:r>
      <w:proofErr w:type="spellEnd"/>
      <w:r w:rsidRPr="002D16A1">
        <w:rPr>
          <w:color w:val="000000"/>
          <w:bdr w:val="none" w:sz="0" w:space="0" w:color="auto" w:frame="1"/>
        </w:rPr>
        <w:t xml:space="preserve">, </w:t>
      </w:r>
      <w:proofErr w:type="spellStart"/>
      <w:r w:rsidRPr="00196ACD">
        <w:rPr>
          <w:b/>
          <w:bCs/>
          <w:color w:val="000000"/>
          <w:bdr w:val="none" w:sz="0" w:space="0" w:color="auto" w:frame="1"/>
        </w:rPr>
        <w:t>Thyrocare</w:t>
      </w:r>
      <w:proofErr w:type="spellEnd"/>
      <w:r w:rsidRPr="002D16A1">
        <w:rPr>
          <w:color w:val="000000"/>
          <w:bdr w:val="none" w:sz="0" w:space="0" w:color="auto" w:frame="1"/>
        </w:rPr>
        <w:t xml:space="preserve">, and </w:t>
      </w:r>
      <w:proofErr w:type="spellStart"/>
      <w:r w:rsidRPr="00196ACD">
        <w:rPr>
          <w:b/>
          <w:bCs/>
          <w:color w:val="000000"/>
          <w:bdr w:val="none" w:sz="0" w:space="0" w:color="auto" w:frame="1"/>
        </w:rPr>
        <w:t>Retailio</w:t>
      </w:r>
      <w:proofErr w:type="spellEnd"/>
      <w:r w:rsidRPr="002D16A1">
        <w:rPr>
          <w:color w:val="000000"/>
          <w:bdr w:val="none" w:sz="0" w:space="0" w:color="auto" w:frame="1"/>
        </w:rPr>
        <w:t xml:space="preserve"> — has teamed up with IBM </w:t>
      </w:r>
      <w:r w:rsidR="007B0E38" w:rsidRPr="007B0E38">
        <w:rPr>
          <w:color w:val="000000"/>
          <w:highlight w:val="green"/>
          <w:bdr w:val="none" w:sz="0" w:space="0" w:color="auto" w:frame="1"/>
        </w:rPr>
        <w:t>to deploy AI</w:t>
      </w:r>
      <w:r w:rsidR="007B0E38" w:rsidRPr="007B0E38">
        <w:rPr>
          <w:rFonts w:ascii="Cambria Math" w:hAnsi="Cambria Math" w:cs="Cambria Math"/>
          <w:color w:val="000000"/>
          <w:highlight w:val="green"/>
          <w:bdr w:val="none" w:sz="0" w:space="0" w:color="auto" w:frame="1"/>
        </w:rPr>
        <w:t>‑</w:t>
      </w:r>
      <w:r w:rsidR="007B0E38" w:rsidRPr="007B0E38">
        <w:rPr>
          <w:color w:val="000000"/>
          <w:highlight w:val="green"/>
          <w:bdr w:val="none" w:sz="0" w:space="0" w:color="auto" w:frame="1"/>
        </w:rPr>
        <w:t>driven full</w:t>
      </w:r>
      <w:r w:rsidR="007B0E38" w:rsidRPr="007B0E38">
        <w:rPr>
          <w:rFonts w:ascii="Cambria Math" w:hAnsi="Cambria Math" w:cs="Cambria Math"/>
          <w:color w:val="000000"/>
          <w:highlight w:val="green"/>
          <w:bdr w:val="none" w:sz="0" w:space="0" w:color="auto" w:frame="1"/>
        </w:rPr>
        <w:t>‑</w:t>
      </w:r>
      <w:r w:rsidR="007B0E38" w:rsidRPr="007B0E38">
        <w:rPr>
          <w:color w:val="000000"/>
          <w:highlight w:val="green"/>
          <w:bdr w:val="none" w:sz="0" w:space="0" w:color="auto" w:frame="1"/>
        </w:rPr>
        <w:t>stack observability at scale</w:t>
      </w:r>
      <w:r w:rsidR="007B0E38" w:rsidRPr="007B0E38">
        <w:rPr>
          <w:color w:val="000000"/>
          <w:bdr w:val="none" w:sz="0" w:space="0" w:color="auto" w:frame="1"/>
        </w:rPr>
        <w:t>,</w:t>
      </w:r>
      <w:r w:rsidR="00E55F34">
        <w:rPr>
          <w:color w:val="000000"/>
          <w:bdr w:val="none" w:sz="0" w:space="0" w:color="auto" w:frame="1"/>
        </w:rPr>
        <w:t xml:space="preserve"> </w:t>
      </w:r>
      <w:r w:rsidR="007B0E38" w:rsidRPr="007B0E38">
        <w:rPr>
          <w:color w:val="000000"/>
          <w:highlight w:val="green"/>
          <w:bdr w:val="none" w:sz="0" w:space="0" w:color="auto" w:frame="1"/>
        </w:rPr>
        <w:t>strengthening</w:t>
      </w:r>
      <w:r w:rsidR="007B0E38" w:rsidRPr="007B0E38">
        <w:rPr>
          <w:color w:val="000000"/>
          <w:bdr w:val="none" w:sz="0" w:space="0" w:color="auto" w:frame="1"/>
        </w:rPr>
        <w:t xml:space="preserve"> </w:t>
      </w:r>
      <w:r w:rsidRPr="002D16A1">
        <w:rPr>
          <w:color w:val="000000"/>
          <w:bdr w:val="none" w:sz="0" w:space="0" w:color="auto" w:frame="1"/>
        </w:rPr>
        <w:t>its digital healthcare backbone.</w:t>
      </w:r>
    </w:p>
    <w:p w14:paraId="49C5B5C4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40DB0821" w14:textId="77777777" w:rsidR="00495AFE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 xml:space="preserve">With IBM Instana, API now has real-time visibility across its entire tech ecosystem, helping teams detect and resolve issues faster, boost uptime, and deliver seamless healthcare experiences. The results speak for themselves — a 30% reduction in Mean Time to Resolution (MTTR) and faster innovation cycles across all three businesses. </w:t>
      </w:r>
      <w:proofErr w:type="spellStart"/>
      <w:r w:rsidRPr="002D16A1">
        <w:rPr>
          <w:color w:val="000000"/>
          <w:bdr w:val="none" w:sz="0" w:space="0" w:color="auto" w:frame="1"/>
        </w:rPr>
        <w:t>Instana’s</w:t>
      </w:r>
      <w:proofErr w:type="spellEnd"/>
      <w:r w:rsidRPr="002D16A1">
        <w:rPr>
          <w:color w:val="000000"/>
          <w:bdr w:val="none" w:sz="0" w:space="0" w:color="auto" w:frame="1"/>
        </w:rPr>
        <w:t xml:space="preserve"> AI-powered insights and instant alerts enable API’s engineers to focus on what matters most: building smarter, more reliable healthcare solutions.</w:t>
      </w:r>
    </w:p>
    <w:p w14:paraId="0C84E742" w14:textId="77777777" w:rsidR="00196ACD" w:rsidRPr="002D16A1" w:rsidRDefault="00196ACD" w:rsidP="002D16A1">
      <w:pPr>
        <w:pStyle w:val="NoSpacing"/>
        <w:rPr>
          <w:color w:val="000000"/>
          <w:bdr w:val="none" w:sz="0" w:space="0" w:color="auto" w:frame="1"/>
        </w:rPr>
      </w:pPr>
    </w:p>
    <w:p w14:paraId="2DD3B15B" w14:textId="6D6A999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 xml:space="preserve">Together, API and IBM are driving the next wave of resilient, agile, and customer-centric digital healthcare in India. </w:t>
      </w:r>
      <w:r w:rsidR="006A20BC" w:rsidRPr="006A20BC">
        <w:rPr>
          <w:color w:val="000000"/>
          <w:highlight w:val="yellow"/>
          <w:bdr w:val="none" w:sz="0" w:space="0" w:color="auto" w:frame="1"/>
        </w:rPr>
        <w:t>Ensure Users Get Response Times They Need &amp; IT Staff Spends Less Time Troubleshooting.</w:t>
      </w:r>
    </w:p>
    <w:p w14:paraId="2D47C1F5" w14:textId="29779096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color w:val="000000"/>
          <w:highlight w:val="yellow"/>
          <w:bdr w:val="none" w:sz="0" w:space="0" w:color="auto" w:frame="1"/>
        </w:rPr>
        <w:t>#</w:t>
      </w:r>
      <w:r w:rsidRPr="006A20BC">
        <w:rPr>
          <w:highlight w:val="yellow"/>
        </w:rPr>
        <w:t xml:space="preserve"> </w:t>
      </w:r>
      <w:r w:rsidR="00723977" w:rsidRPr="006A20BC">
        <w:rPr>
          <w:color w:val="000000"/>
          <w:highlight w:val="yellow"/>
          <w:bdr w:val="none" w:sz="0" w:space="0" w:color="auto" w:frame="1"/>
        </w:rPr>
        <w:t>application monitoring software</w:t>
      </w:r>
      <w:r w:rsidR="006A20BC" w:rsidRPr="006A20BC">
        <w:rPr>
          <w:color w:val="000000"/>
          <w:highlight w:val="yellow"/>
          <w:bdr w:val="none" w:sz="0" w:space="0" w:color="auto" w:frame="1"/>
        </w:rPr>
        <w:t>,#</w:t>
      </w:r>
      <w:r w:rsidR="006A20BC" w:rsidRPr="006A20BC">
        <w:rPr>
          <w:highlight w:val="yellow"/>
        </w:rPr>
        <w:t xml:space="preserve"> </w:t>
      </w:r>
      <w:proofErr w:type="spellStart"/>
      <w:r w:rsidR="006A20BC" w:rsidRPr="006A20BC">
        <w:rPr>
          <w:color w:val="000000"/>
          <w:highlight w:val="yellow"/>
          <w:bdr w:val="none" w:sz="0" w:space="0" w:color="auto" w:frame="1"/>
        </w:rPr>
        <w:t>apm</w:t>
      </w:r>
      <w:proofErr w:type="spellEnd"/>
      <w:r w:rsidR="006A20BC" w:rsidRPr="006A20BC">
        <w:rPr>
          <w:color w:val="000000"/>
          <w:highlight w:val="yellow"/>
          <w:bdr w:val="none" w:sz="0" w:space="0" w:color="auto" w:frame="1"/>
        </w:rPr>
        <w:t xml:space="preserve"> solution</w:t>
      </w:r>
    </w:p>
    <w:p w14:paraId="34E89BF0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5AB3080C" w14:textId="77777777" w:rsidR="00495AFE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</w:rPr>
        <w:t>CTA</w:t>
      </w:r>
      <w:r w:rsidRPr="002D16A1">
        <w:rPr>
          <w:color w:val="000000"/>
          <w:bdr w:val="none" w:sz="0" w:space="0" w:color="auto" w:frame="1"/>
        </w:rPr>
        <w:t>: Explore the API–IBM success story</w:t>
      </w:r>
    </w:p>
    <w:p w14:paraId="1742BD98" w14:textId="77777777" w:rsidR="00196ACD" w:rsidRPr="002D16A1" w:rsidRDefault="00196ACD" w:rsidP="002D16A1">
      <w:pPr>
        <w:pStyle w:val="NoSpacing"/>
        <w:rPr>
          <w:color w:val="000000"/>
          <w:bdr w:val="none" w:sz="0" w:space="0" w:color="auto" w:frame="1"/>
        </w:rPr>
      </w:pPr>
    </w:p>
    <w:p w14:paraId="2148A79A" w14:textId="77777777" w:rsidR="00495AFE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noProof/>
          <w:color w:val="000000"/>
          <w:bdr w:val="none" w:sz="0" w:space="0" w:color="auto" w:frame="1"/>
        </w:rPr>
        <w:drawing>
          <wp:inline distT="0" distB="0" distL="0" distR="0" wp14:anchorId="7B52805B" wp14:editId="64BCB468">
            <wp:extent cx="4107145" cy="1441450"/>
            <wp:effectExtent l="0" t="0" r="8255" b="6350"/>
            <wp:docPr id="716842871" name="Picture 1" descr="A close-up of a hand holding a syri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2871" name="Picture 1" descr="A close-up of a hand holding a syring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9484" cy="14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52F4" w14:textId="77777777" w:rsidR="00E55F34" w:rsidRDefault="00E55F34" w:rsidP="002D16A1">
      <w:pPr>
        <w:pStyle w:val="NoSpacing"/>
        <w:rPr>
          <w:color w:val="000000"/>
          <w:bdr w:val="none" w:sz="0" w:space="0" w:color="auto" w:frame="1"/>
        </w:rPr>
      </w:pPr>
    </w:p>
    <w:p w14:paraId="5B7BB684" w14:textId="77777777" w:rsidR="00E55F34" w:rsidRDefault="00E55F34" w:rsidP="002D16A1">
      <w:pPr>
        <w:pStyle w:val="NoSpacing"/>
        <w:rPr>
          <w:color w:val="000000"/>
          <w:bdr w:val="none" w:sz="0" w:space="0" w:color="auto" w:frame="1"/>
        </w:rPr>
      </w:pPr>
    </w:p>
    <w:p w14:paraId="4442DFB3" w14:textId="77777777" w:rsidR="00E55F34" w:rsidRPr="002D16A1" w:rsidRDefault="00E55F34" w:rsidP="002D16A1">
      <w:pPr>
        <w:pStyle w:val="NoSpacing"/>
        <w:rPr>
          <w:color w:val="000000"/>
          <w:bdr w:val="none" w:sz="0" w:space="0" w:color="auto" w:frame="1"/>
        </w:rPr>
      </w:pPr>
    </w:p>
    <w:p w14:paraId="2DC105E7" w14:textId="77777777" w:rsidR="00495AFE" w:rsidRPr="002D16A1" w:rsidRDefault="00495AFE" w:rsidP="002D16A1">
      <w:pPr>
        <w:pStyle w:val="NoSpacing"/>
      </w:pPr>
    </w:p>
    <w:p w14:paraId="637A288B" w14:textId="77777777" w:rsidR="00495AFE" w:rsidRPr="002D16A1" w:rsidRDefault="00495AFE" w:rsidP="002D16A1">
      <w:pPr>
        <w:pStyle w:val="NoSpacing"/>
        <w:rPr>
          <w:rFonts w:eastAsia="Times New Roman"/>
          <w:color w:val="000000"/>
          <w:kern w:val="0"/>
          <w14:ligatures w14:val="none"/>
        </w:rPr>
      </w:pPr>
      <w:r w:rsidRPr="002D16A1">
        <w:rPr>
          <w:b/>
          <w:bCs/>
          <w:color w:val="000000"/>
          <w:bdr w:val="none" w:sz="0" w:space="0" w:color="auto" w:frame="1"/>
        </w:rPr>
        <w:t>Asset Title</w:t>
      </w:r>
      <w:r w:rsidRPr="002D16A1">
        <w:rPr>
          <w:color w:val="000000"/>
          <w:bdr w:val="none" w:sz="0" w:space="0" w:color="auto" w:frame="1"/>
        </w:rPr>
        <w:t> - </w:t>
      </w:r>
      <w:r w:rsidRPr="002D16A1">
        <w:rPr>
          <w:rFonts w:eastAsia="Times New Roman"/>
          <w:color w:val="000000"/>
          <w:kern w:val="0"/>
          <w14:ligatures w14:val="none"/>
        </w:rPr>
        <w:t>A DevOps guide to full-stack observability</w:t>
      </w:r>
    </w:p>
    <w:p w14:paraId="607245D8" w14:textId="77777777" w:rsidR="00495AFE" w:rsidRPr="002D16A1" w:rsidRDefault="00495AFE" w:rsidP="002D16A1">
      <w:pPr>
        <w:pStyle w:val="NoSpacing"/>
        <w:rPr>
          <w:rFonts w:eastAsia="Times New Roman"/>
          <w:color w:val="000000"/>
          <w:kern w:val="0"/>
          <w14:ligatures w14:val="none"/>
        </w:rPr>
      </w:pPr>
      <w:r w:rsidRPr="002D16A1">
        <w:rPr>
          <w:b/>
          <w:bCs/>
          <w:color w:val="000000"/>
          <w:bdr w:val="none" w:sz="0" w:space="0" w:color="auto" w:frame="1"/>
        </w:rPr>
        <w:t>Asset URL</w:t>
      </w:r>
      <w:r w:rsidRPr="002D16A1">
        <w:rPr>
          <w:color w:val="000000"/>
          <w:bdr w:val="none" w:sz="0" w:space="0" w:color="auto" w:frame="1"/>
        </w:rPr>
        <w:t> -</w:t>
      </w:r>
      <w:r w:rsidRPr="002D16A1">
        <w:t xml:space="preserve"> </w:t>
      </w:r>
      <w:r w:rsidRPr="002D16A1">
        <w:rPr>
          <w:color w:val="000000"/>
          <w:bdr w:val="none" w:sz="0" w:space="0" w:color="auto" w:frame="1"/>
        </w:rPr>
        <w:t>https://www.ibm.com/downloads/documents/us-en/137a3e35173ed530</w:t>
      </w:r>
    </w:p>
    <w:p w14:paraId="1AEE5825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b/>
          <w:bCs/>
          <w:color w:val="000000"/>
          <w:bdr w:val="none" w:sz="0" w:space="0" w:color="auto" w:frame="1"/>
        </w:rPr>
        <w:t>Abstract</w:t>
      </w:r>
      <w:r w:rsidRPr="002D16A1">
        <w:rPr>
          <w:color w:val="000000"/>
          <w:bdr w:val="none" w:sz="0" w:space="0" w:color="auto" w:frame="1"/>
        </w:rPr>
        <w:t xml:space="preserve"> – Modern DevOps teams face growing complexity, data overload, and limited visibility across hybrid application environments. Full-stack observability helps overcome these challenges by offering real-time insights from user experience to infrastructure, enabling faster detection, </w:t>
      </w:r>
      <w:r w:rsidRPr="002D16A1">
        <w:rPr>
          <w:color w:val="000000"/>
          <w:bdr w:val="none" w:sz="0" w:space="0" w:color="auto" w:frame="1"/>
        </w:rPr>
        <w:lastRenderedPageBreak/>
        <w:t>diagnosis, and resolution of performance issues. IBM’s Instana delivers AI-powered observability across the entire technology stack—helping teams move from reactive troubleshooting to proactive optimization.</w:t>
      </w:r>
    </w:p>
    <w:p w14:paraId="44B853C4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6E725540" w14:textId="189101D5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>This guide empowers DevOps teams with AI-driven full-stack observability. It outlines best practices, shift-left strategies, and intelligent incident investigation to reduce downtime, improve performance, and accelerate root cause analysis—making modern application management proactive, precise, and resilient.</w:t>
      </w:r>
      <w:r w:rsidRPr="002D16A1">
        <w:t xml:space="preserve"> </w:t>
      </w:r>
      <w:r w:rsidR="00BD7949" w:rsidRPr="00BD7949">
        <w:rPr>
          <w:color w:val="000000"/>
          <w:highlight w:val="yellow"/>
          <w:bdr w:val="none" w:sz="0" w:space="0" w:color="auto" w:frame="1"/>
        </w:rPr>
        <w:t>Ensure Users Get Response Times They Need &amp; IT Staff Spends Less Time Troubleshooting.</w:t>
      </w:r>
    </w:p>
    <w:p w14:paraId="333D6A4B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56238467" w14:textId="01FF3D0B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BD7949">
        <w:rPr>
          <w:color w:val="000000"/>
          <w:highlight w:val="yellow"/>
          <w:bdr w:val="none" w:sz="0" w:space="0" w:color="auto" w:frame="1"/>
        </w:rPr>
        <w:t>#</w:t>
      </w:r>
      <w:r w:rsidR="00035EB6" w:rsidRPr="00BD7949">
        <w:rPr>
          <w:color w:val="000000"/>
          <w:highlight w:val="yellow"/>
          <w:bdr w:val="none" w:sz="0" w:space="0" w:color="auto" w:frame="1"/>
        </w:rPr>
        <w:t>instana observability,</w:t>
      </w:r>
      <w:r w:rsidR="00BD7949" w:rsidRPr="00BD7949">
        <w:rPr>
          <w:color w:val="000000"/>
          <w:highlight w:val="yellow"/>
          <w:bdr w:val="none" w:sz="0" w:space="0" w:color="auto" w:frame="1"/>
        </w:rPr>
        <w:t>#</w:t>
      </w:r>
      <w:r w:rsidR="00BD7949" w:rsidRPr="00BD7949">
        <w:rPr>
          <w:highlight w:val="yellow"/>
        </w:rPr>
        <w:t xml:space="preserve"> </w:t>
      </w:r>
      <w:r w:rsidR="00BD7949" w:rsidRPr="00BD7949">
        <w:rPr>
          <w:color w:val="000000"/>
          <w:highlight w:val="yellow"/>
          <w:bdr w:val="none" w:sz="0" w:space="0" w:color="auto" w:frame="1"/>
        </w:rPr>
        <w:t>cloud app monitoring</w:t>
      </w:r>
    </w:p>
    <w:p w14:paraId="2B9B565C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</w:p>
    <w:p w14:paraId="014CD354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color w:val="000000"/>
          <w:bdr w:val="none" w:sz="0" w:space="0" w:color="auto" w:frame="1"/>
        </w:rPr>
        <w:t>CTA – Download the DevOps Guide</w:t>
      </w:r>
    </w:p>
    <w:p w14:paraId="7B53F110" w14:textId="77777777" w:rsidR="00495AFE" w:rsidRPr="002D16A1" w:rsidRDefault="00495AFE" w:rsidP="002D16A1">
      <w:pPr>
        <w:pStyle w:val="NoSpacing"/>
        <w:rPr>
          <w:color w:val="000000"/>
          <w:bdr w:val="none" w:sz="0" w:space="0" w:color="auto" w:frame="1"/>
        </w:rPr>
      </w:pPr>
      <w:r w:rsidRPr="002D16A1">
        <w:rPr>
          <w:noProof/>
          <w:color w:val="000000"/>
          <w:bdr w:val="none" w:sz="0" w:space="0" w:color="auto" w:frame="1"/>
        </w:rPr>
        <w:drawing>
          <wp:inline distT="0" distB="0" distL="0" distR="0" wp14:anchorId="5E53F1D1" wp14:editId="5570BFCF">
            <wp:extent cx="1722783" cy="838200"/>
            <wp:effectExtent l="0" t="0" r="0" b="0"/>
            <wp:docPr id="139978166" name="Picture 1" descr="A person sitting at a table using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8166" name="Picture 1" descr="A person sitting at a table using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517" cy="84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1D42" w14:textId="77777777" w:rsidR="00495AFE" w:rsidRPr="002D16A1" w:rsidRDefault="00495AFE" w:rsidP="002D16A1">
      <w:pPr>
        <w:pStyle w:val="NoSpacing"/>
      </w:pPr>
    </w:p>
    <w:sectPr w:rsidR="00495AFE" w:rsidRPr="002D1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233E2" w14:textId="77777777" w:rsidR="001A34C0" w:rsidRDefault="001A34C0" w:rsidP="001742EC">
      <w:pPr>
        <w:spacing w:after="0" w:line="240" w:lineRule="auto"/>
      </w:pPr>
      <w:r>
        <w:separator/>
      </w:r>
    </w:p>
  </w:endnote>
  <w:endnote w:type="continuationSeparator" w:id="0">
    <w:p w14:paraId="179B4288" w14:textId="77777777" w:rsidR="001A34C0" w:rsidRDefault="001A34C0" w:rsidP="00174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DF9FE" w14:textId="77777777" w:rsidR="001A34C0" w:rsidRDefault="001A34C0" w:rsidP="001742EC">
      <w:pPr>
        <w:spacing w:after="0" w:line="240" w:lineRule="auto"/>
      </w:pPr>
      <w:r>
        <w:separator/>
      </w:r>
    </w:p>
  </w:footnote>
  <w:footnote w:type="continuationSeparator" w:id="0">
    <w:p w14:paraId="18F50B96" w14:textId="77777777" w:rsidR="001A34C0" w:rsidRDefault="001A34C0" w:rsidP="00174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E1F11"/>
    <w:multiLevelType w:val="hybridMultilevel"/>
    <w:tmpl w:val="F8C66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A6BAA"/>
    <w:multiLevelType w:val="hybridMultilevel"/>
    <w:tmpl w:val="742AEA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E861B1"/>
    <w:multiLevelType w:val="hybridMultilevel"/>
    <w:tmpl w:val="1B38A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87813"/>
    <w:multiLevelType w:val="hybridMultilevel"/>
    <w:tmpl w:val="7D70D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EAD"/>
    <w:multiLevelType w:val="hybridMultilevel"/>
    <w:tmpl w:val="22346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4653F"/>
    <w:multiLevelType w:val="multilevel"/>
    <w:tmpl w:val="FF1C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474542">
    <w:abstractNumId w:val="4"/>
  </w:num>
  <w:num w:numId="2" w16cid:durableId="37751444">
    <w:abstractNumId w:val="5"/>
  </w:num>
  <w:num w:numId="3" w16cid:durableId="347029185">
    <w:abstractNumId w:val="1"/>
  </w:num>
  <w:num w:numId="4" w16cid:durableId="2072188147">
    <w:abstractNumId w:val="3"/>
  </w:num>
  <w:num w:numId="5" w16cid:durableId="1279797400">
    <w:abstractNumId w:val="0"/>
  </w:num>
  <w:num w:numId="6" w16cid:durableId="1385714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AFE"/>
    <w:rsid w:val="00005352"/>
    <w:rsid w:val="00035EB6"/>
    <w:rsid w:val="000376FD"/>
    <w:rsid w:val="001570BB"/>
    <w:rsid w:val="001621BF"/>
    <w:rsid w:val="001742EC"/>
    <w:rsid w:val="001950D7"/>
    <w:rsid w:val="00196ACD"/>
    <w:rsid w:val="001A34C0"/>
    <w:rsid w:val="002A1AF2"/>
    <w:rsid w:val="002B3A63"/>
    <w:rsid w:val="002D16A1"/>
    <w:rsid w:val="00311B8B"/>
    <w:rsid w:val="003F77C7"/>
    <w:rsid w:val="00495AFE"/>
    <w:rsid w:val="005245B3"/>
    <w:rsid w:val="00542367"/>
    <w:rsid w:val="005533D4"/>
    <w:rsid w:val="00591ED3"/>
    <w:rsid w:val="005A02E1"/>
    <w:rsid w:val="005B2037"/>
    <w:rsid w:val="005C5BF8"/>
    <w:rsid w:val="005E5317"/>
    <w:rsid w:val="006A20BC"/>
    <w:rsid w:val="00723977"/>
    <w:rsid w:val="007B0E38"/>
    <w:rsid w:val="007E5B8C"/>
    <w:rsid w:val="00882ECF"/>
    <w:rsid w:val="008976F2"/>
    <w:rsid w:val="00943D77"/>
    <w:rsid w:val="00946257"/>
    <w:rsid w:val="009B6871"/>
    <w:rsid w:val="009C2E52"/>
    <w:rsid w:val="009D4D99"/>
    <w:rsid w:val="00A57383"/>
    <w:rsid w:val="00AC33A0"/>
    <w:rsid w:val="00AE7DFC"/>
    <w:rsid w:val="00BD7949"/>
    <w:rsid w:val="00C524F8"/>
    <w:rsid w:val="00CC683A"/>
    <w:rsid w:val="00D94200"/>
    <w:rsid w:val="00DA4EEC"/>
    <w:rsid w:val="00DC537C"/>
    <w:rsid w:val="00E062DA"/>
    <w:rsid w:val="00E55F34"/>
    <w:rsid w:val="00F24164"/>
    <w:rsid w:val="00FC37A7"/>
    <w:rsid w:val="00FD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D9A09"/>
  <w15:chartTrackingRefBased/>
  <w15:docId w15:val="{FA01913C-0924-4BFE-9A0F-C7CCCB29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5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A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A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5A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A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A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A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A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A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5A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A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5A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5A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A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A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A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A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5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A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5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5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5A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5A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5A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A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A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5A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95AFE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495AFE"/>
    <w:pPr>
      <w:spacing w:after="0" w:line="240" w:lineRule="auto"/>
    </w:pPr>
    <w:rPr>
      <w:sz w:val="22"/>
      <w:szCs w:val="22"/>
      <w:lang w:val="en-IN"/>
    </w:rPr>
  </w:style>
  <w:style w:type="character" w:customStyle="1" w:styleId="markyupfwixar">
    <w:name w:val="markyupfwixar"/>
    <w:basedOn w:val="DefaultParagraphFont"/>
    <w:rsid w:val="002A1AF2"/>
  </w:style>
  <w:style w:type="paragraph" w:styleId="Header">
    <w:name w:val="header"/>
    <w:basedOn w:val="Normal"/>
    <w:link w:val="HeaderChar"/>
    <w:uiPriority w:val="99"/>
    <w:unhideWhenUsed/>
    <w:rsid w:val="00174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2EC"/>
  </w:style>
  <w:style w:type="paragraph" w:styleId="Footer">
    <w:name w:val="footer"/>
    <w:basedOn w:val="Normal"/>
    <w:link w:val="FooterChar"/>
    <w:uiPriority w:val="99"/>
    <w:unhideWhenUsed/>
    <w:rsid w:val="00174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2EC"/>
  </w:style>
  <w:style w:type="character" w:styleId="FollowedHyperlink">
    <w:name w:val="FollowedHyperlink"/>
    <w:basedOn w:val="DefaultParagraphFont"/>
    <w:uiPriority w:val="99"/>
    <w:semiHidden/>
    <w:unhideWhenUsed/>
    <w:rsid w:val="00311B8B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F7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bm.com/think/insights/ai-agent-strategie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ibm.com/downloads/documents/us-en/1443d5f5af4f532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593</Words>
  <Characters>3511</Characters>
  <Application>Microsoft Office Word</Application>
  <DocSecurity>0</DocSecurity>
  <Lines>92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 KARNAM</dc:creator>
  <cp:keywords/>
  <dc:description/>
  <cp:lastModifiedBy>Vamsi Nadella</cp:lastModifiedBy>
  <cp:revision>6</cp:revision>
  <dcterms:created xsi:type="dcterms:W3CDTF">2025-12-17T13:20:00Z</dcterms:created>
  <dcterms:modified xsi:type="dcterms:W3CDTF">2025-12-18T04:16:00Z</dcterms:modified>
</cp:coreProperties>
</file>